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Official Three-Year Cohort Default Rates</w:t>
      </w:r>
    </w:p>
    <w:p>
      <w:pPr>
        <w:pStyle w:val="Subtitle"/>
      </w:pPr>
      <w:r>
        <w:t>PJ’s College of Cosmetology</w:t>
      </w:r>
    </w:p>
    <w:p>
      <w:r>
        <w:t>The U.S. Department of Education publishes official three-year cohort default rates (CDRs) for institutions participating in the federal student loan programs. A CDR represents the percentage of an institution’s federal student loan borrowers who enter repayment during a particular federal fiscal year and default within that fiscal year or the following two fiscal years.</w:t>
      </w:r>
    </w:p>
    <w:p>
      <w:r>
        <w:t>The following are PJ’s College of Cosmetology’s official rates for fiscal years 2023, 2022, and 2021. The FY 2023 official rates were released in September 2026.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Campus</w:t>
            </w:r>
          </w:p>
        </w:tc>
        <w:tc>
          <w:tcPr>
            <w:tcW w:type="dxa" w:w="1728"/>
          </w:tcPr>
          <w:p>
            <w:r>
              <w:t>OPEID</w:t>
            </w:r>
          </w:p>
        </w:tc>
        <w:tc>
          <w:tcPr>
            <w:tcW w:type="dxa" w:w="1728"/>
          </w:tcPr>
          <w:p>
            <w:r>
              <w:t>FY 2023</w:t>
            </w:r>
          </w:p>
        </w:tc>
        <w:tc>
          <w:tcPr>
            <w:tcW w:type="dxa" w:w="1728"/>
          </w:tcPr>
          <w:p>
            <w:r>
              <w:t>FY 2022</w:t>
            </w:r>
          </w:p>
        </w:tc>
        <w:tc>
          <w:tcPr>
            <w:tcW w:type="dxa" w:w="1728"/>
          </w:tcPr>
          <w:p>
            <w:r>
              <w:t>FY 2021</w:t>
            </w:r>
          </w:p>
        </w:tc>
      </w:tr>
      <w:tr>
        <w:tc>
          <w:tcPr>
            <w:tcW w:type="dxa" w:w="1728"/>
          </w:tcPr>
          <w:p>
            <w:r>
              <w:t>Glasgow</w:t>
            </w:r>
          </w:p>
        </w:tc>
        <w:tc>
          <w:tcPr>
            <w:tcW w:type="dxa" w:w="1728"/>
          </w:tcPr>
          <w:p>
            <w:r>
              <w:t>02551100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</w:tr>
      <w:tr>
        <w:tc>
          <w:tcPr>
            <w:tcW w:type="dxa" w:w="1728"/>
          </w:tcPr>
          <w:p>
            <w:r>
              <w:t>Richmond</w:t>
            </w:r>
          </w:p>
        </w:tc>
        <w:tc>
          <w:tcPr>
            <w:tcW w:type="dxa" w:w="1728"/>
          </w:tcPr>
          <w:p>
            <w:r>
              <w:t>02304800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</w:tr>
      <w:tr>
        <w:tc>
          <w:tcPr>
            <w:tcW w:type="dxa" w:w="1728"/>
          </w:tcPr>
          <w:p>
            <w:r>
              <w:t>Bowling Green</w:t>
            </w:r>
          </w:p>
        </w:tc>
        <w:tc>
          <w:tcPr>
            <w:tcW w:type="dxa" w:w="1728"/>
          </w:tcPr>
          <w:p>
            <w:r>
              <w:t>02337200</w:t>
            </w:r>
          </w:p>
        </w:tc>
        <w:tc>
          <w:tcPr>
            <w:tcW w:type="dxa" w:w="1728"/>
          </w:tcPr>
          <w:p>
            <w:r>
              <w:t>1.8%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</w:tr>
      <w:tr>
        <w:tc>
          <w:tcPr>
            <w:tcW w:type="dxa" w:w="1728"/>
          </w:tcPr>
          <w:p>
            <w:r>
              <w:t>Clarksville</w:t>
            </w:r>
          </w:p>
        </w:tc>
        <w:tc>
          <w:tcPr>
            <w:tcW w:type="dxa" w:w="1728"/>
          </w:tcPr>
          <w:p>
            <w:r>
              <w:t>02241700</w:t>
            </w:r>
          </w:p>
        </w:tc>
        <w:tc>
          <w:tcPr>
            <w:tcW w:type="dxa" w:w="1728"/>
          </w:tcPr>
          <w:p>
            <w:r>
              <w:t>1.8%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  <w:tc>
          <w:tcPr>
            <w:tcW w:type="dxa" w:w="1728"/>
          </w:tcPr>
          <w:p>
            <w:r>
              <w:t>0.0%</w:t>
            </w:r>
          </w:p>
        </w:tc>
      </w:tr>
    </w:tbl>
    <w:p>
      <w:r>
        <w:t>Note: Cohort default rates are historical measures and do not necessarily reflect current borrower repayment conditions. Federal pandemic-era repayment protections affected the repayment and default experience of borrowers in these cohorts.</w:t>
      </w:r>
    </w:p>
    <w:p>
      <w:r>
        <w:t>Source: U.S. Department of Education, Federal Student Aid / National Student Loan Data System (NSLDS), Official Cohort Default Rate Information, FY 2023, FY 2022, and FY 2021.</w:t>
      </w:r>
    </w:p>
    <w:p>
      <w:r>
        <w:t>For additional information about federal student loan repayment, visit https://studentaid.gov/manage-loans/repayment.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331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